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6714490" cy="3350895"/>
            <wp:effectExtent b="0" l="0" r="0" t="0"/>
            <wp:docPr id="1049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14490" cy="3350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8"/>
          <w:szCs w:val="28"/>
          <w:u w:val="none"/>
          <w:shd w:fill="auto" w:val="clear"/>
          <w:vertAlign w:val="baseline"/>
          <w:rtl w:val="0"/>
        </w:rPr>
        <w:br w:type="textWrapping"/>
        <w:br w:type="textWrapping"/>
        <w:t xml:space="preserve">Сокровища империи Тимуридов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Экскурсионный тур в Узбекистан: столица и главные города империи Тамерлана,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колоссальная средневековая архитектура и поездка в Чимганские горы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Страна: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Узбекистан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Продолжительность тура: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10 дней / 9 ночей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Маршрут: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 xml:space="preserve">Ургенч – Хива – Бухара – Шахрисабз – Самарканд – Ташкент – Чимганские горы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10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3333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4"/>
          <w:szCs w:val="24"/>
          <w:u w:val="none"/>
          <w:shd w:fill="auto" w:val="clear"/>
          <w:vertAlign w:val="baseline"/>
          <w:rtl w:val="0"/>
        </w:rPr>
        <w:t xml:space="preserve">Гарантированные даты группового тура 2026: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33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9253"/>
        <w:tblW w:w="9889.0" w:type="dxa"/>
        <w:jc w:val="left"/>
        <w:tblInd w:w="-216.0" w:type="dxa"/>
        <w:tblLayout w:type="fixed"/>
        <w:tblLook w:val="0000"/>
      </w:tblPr>
      <w:tblGrid>
        <w:gridCol w:w="5279"/>
        <w:gridCol w:w="4610"/>
        <w:tblGridChange w:id="0">
          <w:tblGrid>
            <w:gridCol w:w="5279"/>
            <w:gridCol w:w="4610"/>
          </w:tblGrid>
        </w:tblGridChange>
      </w:tblGrid>
      <w:tr>
        <w:trPr>
          <w:cantSplit w:val="1"/>
          <w:tblHeader w:val="1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01: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06.03–15.03.2026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02: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13.03–22.03.2026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03: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20.03–29.03.2026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04: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27.03–05.04.2026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05: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03.04–12.04.2026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06: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10.04–19.04.2026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07: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17.04–26.04.2026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08: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24.04–03.05.2026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1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№01: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28.04–07.05.2026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09: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01.05–10.05.2026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1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№02: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05.05–14.05.2026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10: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08.05–17.05.2026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1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№03: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12.05–21.05.2026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11: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15.05–24.05.2026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1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№04: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1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19.05–28.05.2026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12: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22.05–31.05.2026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№05: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01.09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13: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11.09–20.09.2026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№06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15.09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14: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18.09–27.09.2026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№07: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22.09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01.10.2026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15: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25.09–04.10.2026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16: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02.10–11.10.2026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№08: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06.10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15.10.2026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17: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09.10–18.10.2026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18: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16.10–25.10.2026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№09: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20.10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29.10.2026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19: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23.10–01.11.2026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Группа № 20: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30.10–08.11.2026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№10: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03.11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12.11.2026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mallCaps w:val="0"/>
                <w:strike w:val="0"/>
                <w:color w:val="ff0000"/>
                <w:sz w:val="13"/>
                <w:szCs w:val="13"/>
                <w:u w:val="none"/>
                <w:shd w:fill="auto" w:val="clear"/>
                <w:vertAlign w:val="baseline"/>
                <w:rtl w:val="0"/>
              </w:rPr>
              <w:t xml:space="preserve">New!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ДОП №11: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10.11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–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632423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19.11.2026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8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Приглашаем совершить путешествие в самый центр некогда могущественной империи Тимуридов, на родину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Тамерлана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Его империя занимала огромную территорию, включавшую Иран, Месопотамию, Среднюю Азию, Пакистан и Сирию, но сердце и душа Тимура всегда принадлежали одному из самых древних и красивых городов мира – Самарканду.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Именно здесь, в знаменитой столице империи Тамерлана, сосредоточены наиболее грандиозные архитектурные сокровища, которые отличаются особым величием и богатством декора. Один из главных пунктов посещения в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Самарканде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– овеянный легендами мавзолей Гур-Эмир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усыпальница самого Тимура, его потомков и духовного наставника. Мы увидим подлинное надгробие из тёмно-зелёного нефрита и почувствуем, как дух Тамерлана до сих пор витает в этих легендарных стенах.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Обязательно посетим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Хиву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 ее уникальным сохранившимся средневековым внутренним городом и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Бухару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 с самобытной атмосферой и величественными памятниками зодчества всех исторических эпох, начиная с IX века. Мы также навестим родной город-сад Тимура –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Шахрисабз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где сохранились останки монументального 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дворца Ак-Сарай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строительством которого руководил лично Тамерлан, созвав самых искусных зодчих и мастеров со всех уголков своих владений.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«Если хочешь убедиться в нашем могуществе – взгляни на наши постройки!»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– гласит надпись на портале дворца.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конце маршрута нам предстоит однодневная поездка в прекрасные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горы Западного Тянь-Шаня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мы поднимемся на канатной дороге к смотровой площадке с лучшими панорамными видами на весь 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Чимган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и погуляем по красивым горным тропам.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Приезжайте в Узбекистан за восхищением!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3.0" w:type="dxa"/>
        <w:jc w:val="left"/>
        <w:tblInd w:w="-109.0" w:type="dxa"/>
        <w:tblLayout w:type="fixed"/>
        <w:tblLook w:val="0000"/>
      </w:tblPr>
      <w:tblGrid>
        <w:gridCol w:w="1419"/>
        <w:gridCol w:w="9214"/>
        <w:tblGridChange w:id="0">
          <w:tblGrid>
            <w:gridCol w:w="1419"/>
            <w:gridCol w:w="9214"/>
          </w:tblGrid>
        </w:tblGridChange>
      </w:tblGrid>
      <w:tr>
        <w:trPr>
          <w:cantSplit w:val="1"/>
          <w:trHeight w:val="1" w:hRule="atLeast"/>
          <w:tblHeader w:val="1"/>
        </w:trPr>
        <w:tc>
          <w:tcPr>
            <w:tcBorders>
              <w:top w:color="c45911" w:space="0" w:sz="4" w:val="single"/>
              <w:left w:color="c45911" w:space="0" w:sz="4" w:val="single"/>
              <w:bottom w:color="c45911" w:space="0" w:sz="4" w:val="single"/>
            </w:tcBorders>
            <w:shd w:fill="b04758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  <w:right w:color="c45911" w:space="0" w:sz="4" w:val="single"/>
            </w:tcBorders>
            <w:shd w:fill="b04758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Программа 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69" w:hRule="atLeast"/>
          <w:tblHeader w:val="1"/>
        </w:trPr>
        <w:tc>
          <w:tcPr>
            <w:tcBorders>
              <w:top w:color="c45911" w:space="0" w:sz="4" w:val="single"/>
              <w:bottom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4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Прибытие в Ургенч. Ургенч – Хива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(40 км, 1 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Прибытие в Ургенч. Встреча в аэропорту, групповой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Хиву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Размещение в гостинице с 14:00. Свободное время без транспортного и экскурсионного обслуживания.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один из главных городов древнего Хорезма и единственный город современного Узбекистана, где целиком сохранился практически в нетронутом виде средневековый шахристан – Ичан-Кала («внутренний город»).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15" w:hRule="atLeast"/>
          <w:tblHeader w:val="1"/>
        </w:trPr>
        <w:tc>
          <w:tcPr>
            <w:tcBorders>
              <w:top w:color="c45911" w:space="0" w:sz="4" w:val="single"/>
              <w:bottom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 (экскурсия)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Ичан-Кала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предстанет перед нами в облике оживших улиц из восточной сказки, где каждое строение – уникальный архитектурный памятник и отдельная достопримечательность.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Хиве (Ичан-Кале):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комплекс Пахлавана Махмуда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который считается местом паломничества;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крепость Куня-Арк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сердце Ичан-Калы, цитадель правителей и еще один «город в городе»;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минарет Ислам Ходжи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символ города, самый высокий минарет Хивы (56,6 м), откуда открывается сказочный вид на весь город;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дворец Таш Хаули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главная резиденция хивинских правителей;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Алакули-хана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где расположен музей истории медицины имени Авиценны;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мечеть Джума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центральная и самая необычная мечеть Хивы с 213 резными деревянными колоннами,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минарет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медресе Мухаммад Амин-хана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крупнейшее медресе Хивы и одно из самых крупных в Средней Азии.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16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 – Бухара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(440 км, 8 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Бухару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через известную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пустыню Кызылкум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вдоль реки Амударьи. Мы проедем той же дорогой, по которой некогда медленно тянулись бесчисленные караваны Шелкового пути. “Кызылкум” в переводе с тюркского – «Красные пески», здешний песок действительно имеет красноватый оттенок. Мы сделаем несколько остановок и погуляем по живописным барханам, увидим одну из двух крупнейших рек региона – Амударью.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Размещение в гостинице Бухары. Свободное время, посещение сувенирных лавок и мастерских.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69" w:hRule="atLeast"/>
          <w:tblHeader w:val="1"/>
        </w:trPr>
        <w:tc>
          <w:tcPr>
            <w:tcBorders>
              <w:top w:color="c45911" w:space="0" w:sz="4" w:val="single"/>
              <w:bottom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4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 (экскурсия)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один из древнейших городов мира, через который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архитектуры, среди которых грандиозные медресе, мечети и знаменитый символ города – минарет Калян, крепость Арк, действующие средневековые бани и торговые купола. Исторический центр Бухары включен в Список всемирного наследия ЮНЕСКО.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Бухаре: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мавзолей Саманидов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династическая усыпальница, сочетающая традиции согдийской и исламской архитектуры; необычный мавзолей в форме продолговатой призмы, связанный с библейскими легендами о странствующем Иове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Чашма Аюб; комплекс Боло-Хауз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памятник монументального Регистана Бухары, состоит из водоема, минарета и мечети, украшенной 20 резными колоннами; цитадель древней Бухары, «город в городе» – старинная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крепость Арк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древнейшее здание парадной площади, центральный ансамбль и главный символ Бухары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комплекс Пой-Калян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потрясающе красивое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Абдулазиз-хана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богато украшенное сложными орнаментами; строгое и уравновешенное медресе Улугбека.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Затем направимся 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ансамблю Ляби-Хауз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самой известной площади Бухары с искусственным прудом, вокруг которого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расположены медресе Кукельдаш, медресе Надира Диванбеги, ханака, знаменитый памятник Ходже Насреддину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и множество уютных кафе. Посещение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торгового квартала крытых базаров XVI века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где представлены мастерские народных ремесел.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985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 – Шахрисабз (экскурсия) – Самарканд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(375 км, 7 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Шахрисабз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родной город Тамерлана. Зеленый город-сад знаменит своими уникальными архитектурными памятниками, построенными при Тимуре и Тимуридах, которые были призваны превратить малую родину Тамерлана во вторую столицу, не менее роскошную, чем Самарканд.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Шахрисабзу: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дворец Ак-сарай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(«Белый дворец») – грандиозные руины величественной резиденции Тимура, входит в список Всемирного наследия ЮНЕСКО;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мемориальный комплекс Дорус-Саодат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где сохранился склеп Тимура, так и оставшийся пустым, и мавзолей его сына Джахангира;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ансамбль Дорут-Тилляват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(«Место размышлений»), династийная усыпальница, где покоится отец Тамерлана и его духовный наставник;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мечеть Кок-Гумбаз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(«Голубой купол») – пятничная соборная мечеть Шахрисабза.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Самарканд.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26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 (экскурсия)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ровесник Рима, «жемчужина Востока», столица легендарной Согдианы, Мараканда, а затем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Самарканду: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самая известная площадь Центральной Азии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Регистан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окруженная тремя монументальными медресе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Шер-Дор, Тилля-Кари 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медресе Улугбека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мавзолей Гур-Эмир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грандиозная династическая усыпальница Тамерлана, послужившая прототипом  для мавзолеев Хумаюн в Дели и Тадж-Махал в Агре; самая большая в Центральной Азии соборная мечеть, исполненная царственности и красоты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Биби-Ханум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крупнейший рынок Самарканда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базар Сиаб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; архитектурный ансамбль из 11 средневековых мавзолеев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Шахи-Зинда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79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26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 (экскурсия). Самарканд – Ташкент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(330 км, 5 ч)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Продолжение экскурсии по Самарканду: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музей истории “Афрасиаб”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расположенный близ руин древнего Самарканда – городища Афрасиаб;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музей обсерватории Улугбека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одной из самых значительных обсерваторий Средневековья, где под землей сохранился фрагмент гигантского угломера (секстанта).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Ташкент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многогранную столицу Узбекистана с современной инфраструктурой и сохранившимся атмосферным районом Старого города. 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26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 (экскурсия)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Архитектура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поражает своим разнообразием: археологические памятники времен зороастризма, которым уже более 2200 лет, архитектурные шедевры Средневековья, монументальные здания конца XIX в., самое красивое в мире метро и, разумеется, многочисленные новейшие постройки.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Экскурсия по Ташкенту (Старый город):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площадь Хаст-Имам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духовный центр Ташкента, где хранится волос Пророка Мухаммеда;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медресе Барак-хана, мавзолей Кафал-аль-Шаши Мазар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– одни из старейших памятников архитектуры столицы. Посещение самого оригинального и старинного базара Ташкента –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Чорсу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Здесь под огромным куполом можно приобрести местные продукты, специи, ремесленные изделия и сувениры. В районе Старого города, помимо традиционной восточной архитектуры, можно увидеть аутентичные старинные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махалли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(жилые кварталы) с глинобитными домами, узкими улочками и подлинной атмосферой Старого Ташкента. 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Обед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в знаменитом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Среднеазиатском центре плова «Беш Козон»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где каждый день в нескольких гигантских казанах готовят 10 тонн вкуснейшего плова.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Прогулка по центральной части Ташкента.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6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завтрак, 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26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 – Чимган – Ташкент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(85 км + 85 км, 3 ч + 3 ч)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Переезд в Чимганские горы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(отроги Западного Тянь-Шаня) – живописнейшую курортную зону, расположенную в 85 км от Ташкента на высотах 1600–3309 м над уровнем моря. Высшая точка района – вершина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Большой Чимган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(3309 м), именно ее можно увидеть невооруженным глазом прямо с ташкентских улиц.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Посещение горного курорта «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Амирсой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». Подъем на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смотровую площадку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(2290 м) на современном и комфортабельном канатном подъемнике гондольного типа. С высоты открываются поистине потрясающие панорамы на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Чаткальский хребет, Чарвакское водохранилище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и знаменитый поселок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Бричмулла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Пешая прогулка в горах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Здесь в любое время года красиво и свежо, а чистая энергетика гор наполняет душу восторгом. 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Возвращение в Ташкент.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По пути – остановка на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обед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в местечке под названием "Бочки" неподалеку от Чарвакского водохранилища. Тут множество кафе и ресторанов с национальной кухней, где готовят отменные узбекские шашлыки.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Прибытие в Ташкент. Свободное время. 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Ночь в гостинице.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6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завтрак, обед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26" w:hRule="atLeast"/>
          <w:tblHeader w:val="1"/>
        </w:trPr>
        <w:tc>
          <w:tcPr>
            <w:tcBorders>
              <w:top w:color="c45911" w:space="0" w:sz="4" w:val="single"/>
              <w:bottom w:color="c45911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47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День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5911" w:space="0" w:sz="4" w:val="single"/>
              <w:bottom w:color="c45911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 (убытие)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Групповой переезд в аэропорт. Завершение программы тура.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0" w:line="240" w:lineRule="auto"/>
              <w:ind w:left="85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276860" cy="177800"/>
                  <wp:effectExtent b="0" l="0" r="0" t="0"/>
                  <wp:docPr id="105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60" cy="177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завтрак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90.0" w:type="dxa"/>
        <w:jc w:val="center"/>
        <w:tblLayout w:type="fixed"/>
        <w:tblLook w:val="0000"/>
      </w:tblPr>
      <w:tblGrid>
        <w:gridCol w:w="7112"/>
        <w:gridCol w:w="2478"/>
        <w:tblGridChange w:id="0">
          <w:tblGrid>
            <w:gridCol w:w="7112"/>
            <w:gridCol w:w="2478"/>
          </w:tblGrid>
        </w:tblGridChange>
      </w:tblGrid>
      <w:tr>
        <w:trPr>
          <w:cantSplit w:val="1"/>
          <w:trHeight w:val="286" w:hRule="atLeast"/>
          <w:tblHeader w:val="1"/>
        </w:trPr>
        <w:tc>
          <w:tcPr>
            <w:gridSpan w:val="2"/>
            <w:shd w:fill="b04758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Стоимость тура в USD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1"/>
        </w:trPr>
        <w:tc>
          <w:tcPr>
            <w:tcBorders>
              <w:top w:color="b04758" w:space="0" w:sz="4" w:val="single"/>
              <w:left w:color="b0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Стоимость тура для 1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0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910  USD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52" w:hRule="atLeast"/>
          <w:tblHeader w:val="1"/>
        </w:trPr>
        <w:tc>
          <w:tcPr>
            <w:tcBorders>
              <w:left w:color="b04758" w:space="0" w:sz="4" w:val="single"/>
              <w:bottom w:color="b04758" w:space="0" w:sz="4" w:val="single"/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Доплата за одноместное размещение</w:t>
            </w:r>
          </w:p>
        </w:tc>
        <w:tc>
          <w:tcPr>
            <w:tcBorders>
              <w:bottom w:color="b04758" w:space="0" w:sz="4" w:val="single"/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+200 USD</w:t>
            </w:r>
          </w:p>
        </w:tc>
      </w:tr>
    </w:tbl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 стоимость тура включена агентская комиссия (доплата за одноместное размещение – нетто).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Тур является гарантированным и состоится вне зависимости от количества участников.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 участию в групповом туре допускаются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дети от 10 лет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0"/>
          <w:szCs w:val="20"/>
          <w:u w:val="none"/>
          <w:shd w:fill="auto" w:val="clear"/>
          <w:vertAlign w:val="baseline"/>
          <w:rtl w:val="0"/>
        </w:rPr>
        <w:t xml:space="preserve">В стоимость тура включено: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Встреча/проводы в аэропорту, групповой трансфер аэропорт – гостиница – аэропорт для каждого рейса в день начала и окончания программы.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Размещение в гостиницах в двухместных номерах с завтраком.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Групповые экскурсии с гидом согласно программе тура.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jdulv2bluae0" w:id="0"/>
      <w:bookmarkEnd w:id="0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Комфортабельный транспорт с кондиционером на протяжении всего тура.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Однодневная поездка в горную курортную зону Чимган, Западный Тянь-Шань.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rkjwvi2mna2m" w:id="1"/>
      <w:bookmarkEnd w:id="1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Билеты на канатную дорогу на горном курорте «Амирсой».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Обед на «Бочках» неподалеку от Чарвакского водохранилища.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Обед в Среднеазиатском центре плова «Беш Козон».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Минеральная вода (1 л) на каждый экскурсионный день тура (кроме дней прибытия и убытия).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Памятные сувениры.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0"/>
          <w:szCs w:val="20"/>
          <w:u w:val="none"/>
          <w:shd w:fill="auto" w:val="clear"/>
          <w:vertAlign w:val="baseline"/>
          <w:rtl w:val="0"/>
        </w:rPr>
        <w:t xml:space="preserve">В стоимость тура не включено: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международных перелетов.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Входные билеты на памятники и в музеи.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Стоимость питания (кроме указанного в программе).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6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Медицинские издержки и страховка.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0"/>
          <w:szCs w:val="20"/>
          <w:u w:val="none"/>
          <w:shd w:fill="auto" w:val="clear"/>
          <w:vertAlign w:val="baseline"/>
          <w:rtl w:val="0"/>
        </w:rPr>
        <w:t xml:space="preserve">Дополнительные услуги: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Дополнительная ночь по прибытии или убытии в гостинице 3*: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6" w:right="0" w:hanging="3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одноместный номер – 60 USD за номер в сутки,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6" w:right="0" w:hanging="3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двухместный номер – 70 USD за номер в сутки.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" w:line="240" w:lineRule="auto"/>
        <w:ind w:left="1080" w:right="0" w:hanging="36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Доплата за индивидуальный трансфер аэропорт – гостиница – аэропорт: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6" w:right="0" w:hanging="3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седан: +25 USD в одну сторону,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6" w:right="0" w:hanging="3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микроавтобус: + 40 USD в одну сторону.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Порядок посещения объектов во время экскурсий может меняться.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b04758" w:space="1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8"/>
          <w:szCs w:val="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2"/>
          <w:szCs w:val="22"/>
          <w:u w:val="none"/>
          <w:shd w:fill="auto" w:val="clear"/>
          <w:vertAlign w:val="baseline"/>
          <w:rtl w:val="0"/>
        </w:rPr>
        <w:t xml:space="preserve">Информация о гостиницах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156.0" w:type="dxa"/>
        <w:jc w:val="center"/>
        <w:tblLayout w:type="fixed"/>
        <w:tblLook w:val="0000"/>
      </w:tblPr>
      <w:tblGrid>
        <w:gridCol w:w="2149"/>
        <w:gridCol w:w="85"/>
        <w:gridCol w:w="5922"/>
        <w:tblGridChange w:id="0">
          <w:tblGrid>
            <w:gridCol w:w="2149"/>
            <w:gridCol w:w="85"/>
            <w:gridCol w:w="5922"/>
          </w:tblGrid>
        </w:tblGridChange>
      </w:tblGrid>
      <w:tr>
        <w:trPr>
          <w:cantSplit w:val="1"/>
          <w:trHeight w:val="313" w:hRule="atLeast"/>
          <w:tblHeader w:val="1"/>
        </w:trPr>
        <w:tc>
          <w:tcPr>
            <w:shd w:fill="b04758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Город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04758" w:val="clear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Гостиница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6" w:hRule="atLeast"/>
          <w:tblHeader w:val="1"/>
        </w:trPr>
        <w:tc>
          <w:tcPr>
            <w:gridSpan w:val="2"/>
            <w:tcBorders>
              <w:left w:color="b04758" w:space="0" w:sz="4" w:val="single"/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Хива</w:t>
            </w:r>
          </w:p>
        </w:tc>
        <w:tc>
          <w:tcPr>
            <w:tcBorders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Shokh Jahon Hotel 3* / Silk Road 3*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6" w:hRule="atLeast"/>
          <w:tblHeader w:val="1"/>
        </w:trPr>
        <w:tc>
          <w:tcPr>
            <w:gridSpan w:val="2"/>
            <w:tcBorders>
              <w:left w:color="b0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Бухара</w:t>
            </w:r>
          </w:p>
        </w:tc>
        <w:tc>
          <w:tcPr>
            <w:tcBorders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Ayvan Boutique 3* / Nostalgia Boutique 3*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6" w:hRule="atLeast"/>
          <w:tblHeader w:val="1"/>
        </w:trPr>
        <w:tc>
          <w:tcPr>
            <w:gridSpan w:val="2"/>
            <w:tcBorders>
              <w:left w:color="b04758" w:space="0" w:sz="4" w:val="single"/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Самарканд</w:t>
            </w:r>
          </w:p>
        </w:tc>
        <w:tc>
          <w:tcPr>
            <w:tcBorders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Arba 3* / Marokand Spa Hotel 3*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808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86" w:hRule="atLeast"/>
          <w:tblHeader w:val="1"/>
        </w:trPr>
        <w:tc>
          <w:tcPr>
            <w:gridSpan w:val="2"/>
            <w:tcBorders>
              <w:left w:color="b04758" w:space="0" w:sz="4" w:val="single"/>
              <w:bottom w:color="b04758" w:space="0" w:sz="4" w:val="single"/>
              <w:right w:color="b04758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Ташкент</w:t>
            </w:r>
          </w:p>
        </w:tc>
        <w:tc>
          <w:tcPr>
            <w:tcBorders>
              <w:bottom w:color="b04758" w:space="0" w:sz="4" w:val="single"/>
              <w:right w:color="b04758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Huvaydo 3* / King Plaza 3*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или подобная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b04758" w:space="1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b04758" w:space="1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color="b04758" w:space="1" w:sz="4" w:val="single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0475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04758"/>
          <w:sz w:val="22"/>
          <w:szCs w:val="22"/>
          <w:u w:val="none"/>
          <w:shd w:fill="auto" w:val="clear"/>
          <w:vertAlign w:val="baseline"/>
          <w:rtl w:val="0"/>
        </w:rPr>
        <w:t xml:space="preserve">Информация о транспорте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7315.0" w:type="dxa"/>
        <w:jc w:val="center"/>
        <w:tblLayout w:type="fixed"/>
        <w:tblLook w:val="0000"/>
      </w:tblPr>
      <w:tblGrid>
        <w:gridCol w:w="2123"/>
        <w:gridCol w:w="708"/>
        <w:gridCol w:w="4484"/>
        <w:tblGridChange w:id="0">
          <w:tblGrid>
            <w:gridCol w:w="2123"/>
            <w:gridCol w:w="708"/>
            <w:gridCol w:w="4484"/>
          </w:tblGrid>
        </w:tblGridChange>
      </w:tblGrid>
      <w:tr>
        <w:trPr>
          <w:cantSplit w:val="1"/>
          <w:trHeight w:val="306" w:hRule="atLeast"/>
          <w:tblHeader w:val="1"/>
        </w:trPr>
        <w:tc>
          <w:tcPr>
            <w:shd w:fill="b04758" w:val="clear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b04758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Наименование транспорта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7" w:hRule="atLeast"/>
          <w:tblHeader w:val="1"/>
        </w:trPr>
        <w:tc>
          <w:tcPr>
            <w:gridSpan w:val="2"/>
            <w:tcBorders>
              <w:top w:color="b04758" w:space="0" w:sz="4" w:val="single"/>
              <w:left w:color="b0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1–2 чел.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0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514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Chevrolet Lacetti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514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7" w:hRule="atLeast"/>
          <w:tblHeader w:val="1"/>
        </w:trPr>
        <w:tc>
          <w:tcPr>
            <w:gridSpan w:val="2"/>
            <w:tcBorders>
              <w:left w:color="b04758" w:space="0" w:sz="4" w:val="single"/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3–6 чел.</w:t>
            </w:r>
          </w:p>
        </w:tc>
        <w:tc>
          <w:tcPr>
            <w:tcBorders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0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"Hyundai Grand Starex"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7" w:hRule="atLeast"/>
          <w:tblHeader w:val="1"/>
        </w:trPr>
        <w:tc>
          <w:tcPr>
            <w:gridSpan w:val="2"/>
            <w:tcBorders>
              <w:left w:color="b0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7–9 чел.</w:t>
            </w:r>
          </w:p>
        </w:tc>
        <w:tc>
          <w:tcPr>
            <w:tcBorders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514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Toyota Hiace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514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 / "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King Long</w:t>
              </w:r>
            </w:hyperlink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b0514e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"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7" w:hRule="atLeast"/>
          <w:tblHeader w:val="1"/>
        </w:trPr>
        <w:tc>
          <w:tcPr>
            <w:gridSpan w:val="2"/>
            <w:tcBorders>
              <w:left w:color="b04758" w:space="0" w:sz="4" w:val="single"/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10–14 чел.</w:t>
            </w:r>
          </w:p>
        </w:tc>
        <w:tc>
          <w:tcPr>
            <w:tcBorders>
              <w:right w:color="b04758" w:space="0" w:sz="4" w:val="single"/>
            </w:tcBorders>
            <w:shd w:fill="fbf9f7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3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"Eurise"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77" w:hRule="atLeast"/>
          <w:tblHeader w:val="1"/>
        </w:trPr>
        <w:tc>
          <w:tcPr>
            <w:gridSpan w:val="2"/>
            <w:tcBorders>
              <w:left w:color="b04758" w:space="0" w:sz="4" w:val="single"/>
              <w:bottom w:color="b3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Группа 15–30 чел.</w:t>
            </w:r>
          </w:p>
        </w:tc>
        <w:tc>
          <w:tcPr>
            <w:tcBorders>
              <w:bottom w:color="b34758" w:space="0" w:sz="4" w:val="single"/>
              <w:right w:color="b04758" w:space="0" w:sz="4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ab4c58"/>
                <w:sz w:val="20"/>
                <w:szCs w:val="20"/>
                <w:u w:val="none"/>
                <w:shd w:fill="auto" w:val="clear"/>
                <w:vertAlign w:val="baseline"/>
              </w:rPr>
            </w:pPr>
            <w:hyperlink r:id="rId14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"Asia Star"</w:t>
              </w:r>
            </w:hyperlink>
            <w:hyperlink r:id="rId15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none"/>
                  <w:shd w:fill="auto" w:val="clear"/>
                  <w:vertAlign w:val="baseline"/>
                  <w:rtl w:val="0"/>
                </w:rPr>
                <w:t xml:space="preserve"> </w:t>
              </w:r>
            </w:hyperlink>
            <w:hyperlink r:id="rId16">
              <w:r w:rsidDel="00000000" w:rsidR="00000000" w:rsidRPr="00000000">
                <w:rPr>
                  <w:rFonts w:ascii="Arial" w:cs="Arial" w:eastAsia="Arial" w:hAnsi="Arial"/>
                  <w:b w:val="1"/>
                  <w:bCs w:val="1"/>
                  <w:i w:val="0"/>
                  <w:iCs w:val="0"/>
                  <w:smallCaps w:val="0"/>
                  <w:strike w:val="0"/>
                  <w:color w:val="b0514e"/>
                  <w:sz w:val="20"/>
                  <w:szCs w:val="20"/>
                  <w:u w:val="single"/>
                  <w:shd w:fill="auto" w:val="clear"/>
                  <w:vertAlign w:val="baseline"/>
                  <w:rtl w:val="0"/>
                </w:rPr>
                <w:t xml:space="preserve">/ "Yutong"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3000375" cy="885825"/>
            <wp:effectExtent b="0" l="0" r="0" t="0"/>
            <wp:docPr id="105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885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2222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ae4556"/>
          <w:sz w:val="24"/>
          <w:szCs w:val="24"/>
          <w:u w:val="none"/>
          <w:shd w:fill="auto" w:val="clear"/>
          <w:vertAlign w:val="baseline"/>
          <w:rtl w:val="0"/>
        </w:rPr>
        <w:t xml:space="preserve">Central Asia Travel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Узбекистан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: +998 71 2000299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Кыргызстан: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 +996 556657799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Россия: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 +7 499 50498 99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before="4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666666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Telegram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| </w:t>
      </w:r>
      <w:hyperlink r:id="rId1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666666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WhatsApp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08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v7ry2xl2nywo" w:id="2"/>
      <w:bookmarkEnd w:id="2"/>
      <w:hyperlink r:id="rId20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b04758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www.centralasia-travel.com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06666"/>
          <w:sz w:val="20"/>
          <w:szCs w:val="20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| </w:t>
      </w:r>
      <w:hyperlink r:id="rId21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b04758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grouptours@centralasia-travel.com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51" w:top="851" w:left="992" w:right="6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-"/>
      <w:lvlJc w:val="left"/>
      <w:pPr>
        <w:ind w:left="216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  <w:color w:val="b04758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×"/>
      <w:lvlJc w:val="left"/>
      <w:pPr>
        <w:ind w:left="786" w:hanging="360.00000000000006"/>
      </w:pPr>
      <w:rPr>
        <w:rFonts w:ascii="Noto Sans Symbols" w:cs="Noto Sans Symbols" w:eastAsia="Noto Sans Symbols" w:hAnsi="Noto Sans Symbols"/>
        <w:b w:val="0"/>
        <w:bCs w:val="0"/>
        <w:color w:val="b04758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943634"/>
        <w:sz w:val="18"/>
        <w:szCs w:val="18"/>
        <w:vertAlign w:val="baseline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943634"/>
        <w:sz w:val="18"/>
        <w:szCs w:val="18"/>
        <w:vertAlign w:val="baseline"/>
      </w:rPr>
    </w:lvl>
    <w:lvl w:ilvl="1">
      <w:start w:val="1"/>
      <w:numFmt w:val="bullet"/>
      <w:lvlText w:val="-"/>
      <w:lvlJc w:val="left"/>
      <w:pPr>
        <w:ind w:left="180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Normal"/>
    <w:rsid w:val="00332025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customStyle="1">
    <w:name w:val="normal"/>
    <w:rsid w:val="00332025"/>
  </w:style>
  <w:style w:type="table" w:styleId="a4">
    <w:name w:val="Table Grid"/>
    <w:basedOn w:val="a1"/>
    <w:autoRedefine w:val="1"/>
    <w:hidden w:val="1"/>
    <w:qFormat w:val="1"/>
    <w:rsid w:val="00332025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5">
    <w:name w:val="header"/>
    <w:basedOn w:val="a"/>
    <w:autoRedefine w:val="1"/>
    <w:hidden w:val="1"/>
    <w:qFormat w:val="1"/>
    <w:rsid w:val="00332025"/>
    <w:pPr>
      <w:tabs>
        <w:tab w:val="center" w:pos="4677"/>
        <w:tab w:val="right" w:pos="9355"/>
      </w:tabs>
    </w:pPr>
  </w:style>
  <w:style w:type="paragraph" w:styleId="a6">
    <w:name w:val="footer"/>
    <w:basedOn w:val="a"/>
    <w:autoRedefine w:val="1"/>
    <w:hidden w:val="1"/>
    <w:qFormat w:val="1"/>
    <w:rsid w:val="00332025"/>
    <w:pPr>
      <w:tabs>
        <w:tab w:val="center" w:pos="4677"/>
        <w:tab w:val="right" w:pos="9355"/>
      </w:tabs>
    </w:pPr>
  </w:style>
  <w:style w:type="paragraph" w:styleId="kabinki" w:customStyle="1">
    <w:name w:val="kabinki"/>
    <w:basedOn w:val="a"/>
    <w:autoRedefine w:val="1"/>
    <w:hidden w:val="1"/>
    <w:qFormat w:val="1"/>
    <w:rsid w:val="00332025"/>
    <w:pPr>
      <w:spacing w:after="100" w:afterAutospacing="1" w:before="100" w:beforeAutospacing="1"/>
    </w:pPr>
  </w:style>
  <w:style w:type="character" w:styleId="a7">
    <w:name w:val="Strong"/>
    <w:autoRedefine w:val="1"/>
    <w:hidden w:val="1"/>
    <w:qFormat w:val="1"/>
    <w:rsid w:val="00332025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character" w:styleId="apple-converted-space" w:customStyle="1">
    <w:name w:val="apple-converted-space"/>
    <w:basedOn w:val="a0"/>
    <w:autoRedefine w:val="1"/>
    <w:hidden w:val="1"/>
    <w:qFormat w:val="1"/>
    <w:rsid w:val="00332025"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Hyperlink"/>
    <w:autoRedefine w:val="1"/>
    <w:hidden w:val="1"/>
    <w:qFormat w:val="1"/>
    <w:rsid w:val="00332025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9">
    <w:name w:val="No Spacing"/>
    <w:autoRedefine w:val="1"/>
    <w:hidden w:val="1"/>
    <w:qFormat w:val="1"/>
    <w:rsid w:val="00332025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a">
    <w:name w:val="Normal (Web)"/>
    <w:basedOn w:val="a"/>
    <w:autoRedefine w:val="1"/>
    <w:hidden w:val="1"/>
    <w:qFormat w:val="1"/>
    <w:rsid w:val="00332025"/>
    <w:pPr>
      <w:spacing w:after="100" w:afterAutospacing="1" w:before="100" w:beforeAutospacing="1"/>
    </w:pPr>
  </w:style>
  <w:style w:type="character" w:styleId="apple-style-span" w:customStyle="1">
    <w:name w:val="apple-style-span"/>
    <w:basedOn w:val="a0"/>
    <w:autoRedefine w:val="1"/>
    <w:hidden w:val="1"/>
    <w:qFormat w:val="1"/>
    <w:rsid w:val="00332025"/>
    <w:rPr>
      <w:w w:val="100"/>
      <w:position w:val="-1"/>
      <w:effect w:val="none"/>
      <w:vertAlign w:val="baseline"/>
      <w:cs w:val="0"/>
      <w:em w:val="none"/>
    </w:rPr>
  </w:style>
  <w:style w:type="paragraph" w:styleId="rmcgjnrgmsonormal" w:customStyle="1">
    <w:name w:val="rmcgjnrgmsonormal"/>
    <w:basedOn w:val="a"/>
    <w:autoRedefine w:val="1"/>
    <w:hidden w:val="1"/>
    <w:qFormat w:val="1"/>
    <w:rsid w:val="00332025"/>
    <w:pPr>
      <w:spacing w:after="100" w:afterAutospacing="1" w:before="100" w:beforeAutospacing="1"/>
    </w:pPr>
  </w:style>
  <w:style w:type="character" w:styleId="ab">
    <w:name w:val="Emphasis"/>
    <w:autoRedefine w:val="1"/>
    <w:hidden w:val="1"/>
    <w:qFormat w:val="1"/>
    <w:rsid w:val="00332025"/>
    <w:rPr>
      <w:i w:val="1"/>
      <w:iCs w:val="1"/>
      <w:w w:val="100"/>
      <w:position w:val="-1"/>
      <w:effect w:val="none"/>
      <w:vertAlign w:val="baseline"/>
      <w:cs w:val="0"/>
      <w:em w:val="none"/>
    </w:rPr>
  </w:style>
  <w:style w:type="paragraph" w:styleId="ac">
    <w:name w:val="List Paragraph"/>
    <w:basedOn w:val="a"/>
    <w:autoRedefine w:val="1"/>
    <w:hidden w:val="1"/>
    <w:qFormat w:val="1"/>
    <w:rsid w:val="00332025"/>
    <w:pPr>
      <w:spacing w:after="200" w:line="276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character" w:styleId="gmaildefault" w:customStyle="1">
    <w:name w:val="gmail_default"/>
    <w:autoRedefine w:val="1"/>
    <w:hidden w:val="1"/>
    <w:qFormat w:val="1"/>
    <w:rsid w:val="00332025"/>
    <w:rPr>
      <w:w w:val="100"/>
      <w:position w:val="-1"/>
      <w:effect w:val="none"/>
      <w:vertAlign w:val="baseline"/>
      <w:cs w:val="0"/>
      <w:em w:val="none"/>
    </w:rPr>
  </w:style>
  <w:style w:type="table" w:styleId="ae" w:customStyle="1">
    <w:basedOn w:val="TableNormal"/>
    <w:rsid w:val="00332025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" w:customStyle="1">
    <w:basedOn w:val="TableNormal"/>
    <w:rsid w:val="00332025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"/>
    <w:rsid w:val="00332025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rsid w:val="00332025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rsid w:val="00332025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f3">
    <w:name w:val="Balloon Text"/>
    <w:basedOn w:val="a"/>
    <w:link w:val="af4"/>
    <w:uiPriority w:val="99"/>
    <w:semiHidden w:val="1"/>
    <w:unhideWhenUsed w:val="1"/>
    <w:rsid w:val="00583087"/>
    <w:pPr>
      <w:spacing w:line="240" w:lineRule="auto"/>
    </w:pPr>
    <w:rPr>
      <w:rFonts w:ascii="Tahoma" w:cs="Tahoma" w:hAnsi="Tahoma"/>
      <w:sz w:val="16"/>
      <w:szCs w:val="16"/>
    </w:rPr>
  </w:style>
  <w:style w:type="character" w:styleId="af4" w:customStyle="1">
    <w:name w:val="Текст выноски Знак"/>
    <w:basedOn w:val="a0"/>
    <w:link w:val="af3"/>
    <w:uiPriority w:val="99"/>
    <w:semiHidden w:val="1"/>
    <w:rsid w:val="00583087"/>
    <w:rPr>
      <w:rFonts w:ascii="Tahoma" w:cs="Tahoma" w:hAnsi="Tahoma"/>
      <w:position w:val="-1"/>
      <w:sz w:val="16"/>
      <w:szCs w:val="16"/>
      <w:lang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centralasia-travel.com" TargetMode="External"/><Relationship Id="rId11" Type="http://schemas.openxmlformats.org/officeDocument/2006/relationships/hyperlink" Target="https://www.centralasia-travel.com/ru/countries/uzbekistan/avto#toyota_hiace" TargetMode="External"/><Relationship Id="rId10" Type="http://schemas.openxmlformats.org/officeDocument/2006/relationships/hyperlink" Target="https://www.centralasia-travel.com/ru/countries/uzbekistan/avto#Hyundai_Grand_Starex" TargetMode="External"/><Relationship Id="rId21" Type="http://schemas.openxmlformats.org/officeDocument/2006/relationships/hyperlink" Target="mailto:grouptours@centralasia-travel.com" TargetMode="External"/><Relationship Id="rId13" Type="http://schemas.openxmlformats.org/officeDocument/2006/relationships/hyperlink" Target="https://www.centralasia-travel.com/ru/countries/uzbekistan/avto#eurise" TargetMode="External"/><Relationship Id="rId12" Type="http://schemas.openxmlformats.org/officeDocument/2006/relationships/hyperlink" Target="https://www.centralasia-travel.com/ru/countries/uzbekistan/avto#king-lo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centralasia-travel.com/ru/countries/uzbekistan/avto#lacetti" TargetMode="External"/><Relationship Id="rId15" Type="http://schemas.openxmlformats.org/officeDocument/2006/relationships/hyperlink" Target="https://www.centralasia-travel.com/ru/countries/uzbekistan/avto#yutong" TargetMode="External"/><Relationship Id="rId14" Type="http://schemas.openxmlformats.org/officeDocument/2006/relationships/hyperlink" Target="https://www.centralasia-travel.com/ru/countries/uzbekistan/avto#AsiaStar" TargetMode="External"/><Relationship Id="rId17" Type="http://schemas.openxmlformats.org/officeDocument/2006/relationships/image" Target="media/image3.png"/><Relationship Id="rId16" Type="http://schemas.openxmlformats.org/officeDocument/2006/relationships/hyperlink" Target="https://www.centralasia-travel.com/ru/countries/uzbekistan/avto#yutong" TargetMode="External"/><Relationship Id="rId5" Type="http://schemas.openxmlformats.org/officeDocument/2006/relationships/styles" Target="styles.xml"/><Relationship Id="rId19" Type="http://schemas.openxmlformats.org/officeDocument/2006/relationships/hyperlink" Target="https://msng.link/wa/998983679599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msng.link/tg/Central_Asia_Travel" TargetMode="Externa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0DZRDEDlAMYefs0/j9Rp7XDtjg==">CgMxLjAyDmguamR1bHYyYmx1YWUwMg5oLnJrand2aTJtbmEybTIOaC52N3J5MnhsMm55d284AHIhMVdxZ1F2WVF1dWF1ZzlKX0o4eHBpQ3FBSE9QamhxdlZ1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2023-12-13T16:28:00Z</dcterms:created>
  <dc:creator>cat03</dc:creator>
</cp:coreProperties>
</file>