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0000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Сокровища империи Тимуридов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-640713</wp:posOffset>
            </wp:positionH>
            <wp:positionV relativeFrom="paragraph">
              <wp:posOffset>-542288</wp:posOffset>
            </wp:positionV>
            <wp:extent cx="7787640" cy="3888740"/>
            <wp:effectExtent b="0" l="0" r="0" t="0"/>
            <wp:wrapSquare wrapText="bothSides" distB="0" distT="0" distL="114300" distR="114300"/>
            <wp:docPr descr="1252-1a" id="1142" name="image23.jpg"/>
            <a:graphic>
              <a:graphicData uri="http://schemas.openxmlformats.org/drawingml/2006/picture">
                <pic:pic>
                  <pic:nvPicPr>
                    <pic:cNvPr descr="1252-1a" id="0" name="image2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38887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Экскурсионный тур в Узбекистан: столица и главные города империи Тамерлана,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колоссальная средневековая архитектура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Страна: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Узбекистан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Продолжительность тура: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9 дней / 8 ночей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Маршрут: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Ургенч – Хива – Бухара – Шахрисабз – Самарканд – Ташкент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4"/>
          <w:szCs w:val="24"/>
          <w:u w:val="none"/>
          <w:shd w:fill="auto" w:val="clear"/>
          <w:vertAlign w:val="baseline"/>
          <w:rtl w:val="0"/>
        </w:rPr>
        <w:t xml:space="preserve">Гарантированные даты группового тура 2026: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9933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8828"/>
        <w:tblW w:w="10564.0" w:type="dxa"/>
        <w:jc w:val="left"/>
        <w:tblInd w:w="-108.0" w:type="dxa"/>
        <w:tblLayout w:type="fixed"/>
        <w:tblLook w:val="0000"/>
      </w:tblPr>
      <w:tblGrid>
        <w:gridCol w:w="5279"/>
        <w:gridCol w:w="5285"/>
        <w:tblGridChange w:id="0">
          <w:tblGrid>
            <w:gridCol w:w="5279"/>
            <w:gridCol w:w="5285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01: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06.03–14.03.2026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02: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13.03–21.03.2026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03: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20.03–28.03.2026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04: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27.03–04.04.2026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05: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03.04–11.04.2026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06: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10.04–18.04.2026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07: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17.04–25.04.2026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08: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24.04–02.05.2026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№01: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28.04–06.05.2026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09: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01.05–09.05.2026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1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№02: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05.05–13.05.2026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10: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08.05–16.05.2026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№03: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12.05–20.05.2026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11: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15.05–23.05.2026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№04: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19.05–27.05.2026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12: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22.05–30.05.2026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№05: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01.09–09.09.2026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13: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11.09–19.09.2026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№06: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15.09–23.09.2026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14: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18.09–26.09.2026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№07: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22.09–30.09.2026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15: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25.09–03.10.2026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16: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02.10–10.10.2026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№08: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06.10–14.10.2026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17: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09.10–17.10.2026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18: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16.10–24.10.2026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№09: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20.10–28.10.2026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19: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23.10–31.10.2026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№ 20: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30.10–07.11.2026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№10: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03.11–11.11.2026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4f6228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Группа ДОП №11: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9933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10.11–18.11.2026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Приглашаем совершить путешествие в самый центр некогда могущественной империи Тимуридов, на родину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Тамерлана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Его империя занимала огромную территорию, включавшую Иран, Месопотамию, Среднюю Азию, Пакистан и Сирию, но сердце и душа Тимура всегда принадлежали одному из самых древних и красивых городов мира – Самарканду.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Именно здесь, в знаменитой столице империи Тамерлана, сосредоточены наиболее грандиозные архитектурные сокровища, которые отличаются особым величием и богатством декора. Один из главных пунктов посещения в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Самарканде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овеянный легендами мавзолей Гур-Эмир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усыпальница самого Тимура, его потомков и духовного наставника. Мы увидим подлинное надгробие из тёмно-зелёного нефрита и почувствуем, как дух Тамерлана до сих пор витает в этих легендарных стенах.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Обязательно посетим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Хиву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 ее уникальным сохранившимся средневековым внутренним городом и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Бухару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с самобытной атмосферой и величественными памятниками зодчества всех исторических эпох, начиная с IX века. Мы также навестим родной город-сад Тимура –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Шахрисабз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где сохранились останки монументального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дворца Ак-Сарай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строительством которого руководил лично Тамерлан, созвав самых искусных зодчих и мастеров со всех уголков своих владений.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«Если хочешь убедиться в нашем могуществе – взгляни на наши постройки!»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гласит надпись на портале дворца. Приезжайте в Узбекистан убедиться и восхититься!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3.0" w:type="dxa"/>
        <w:jc w:val="left"/>
        <w:tblInd w:w="-109.0" w:type="dxa"/>
        <w:tblBorders>
          <w:top w:color="999999" w:space="0" w:sz="2" w:val="single"/>
          <w:left w:color="999999" w:space="0" w:sz="2" w:val="single"/>
          <w:bottom w:color="999999" w:space="0" w:sz="2" w:val="single"/>
          <w:right w:color="999999" w:space="0" w:sz="2" w:val="single"/>
          <w:insideH w:color="999999" w:space="0" w:sz="2" w:val="single"/>
          <w:insideV w:color="999999" w:space="0" w:sz="2" w:val="single"/>
        </w:tblBorders>
        <w:tblLayout w:type="fixed"/>
        <w:tblLook w:val="0000"/>
      </w:tblPr>
      <w:tblGrid>
        <w:gridCol w:w="1115"/>
        <w:gridCol w:w="11"/>
        <w:gridCol w:w="1394"/>
        <w:gridCol w:w="24"/>
        <w:gridCol w:w="81"/>
        <w:gridCol w:w="919"/>
        <w:gridCol w:w="3544"/>
        <w:gridCol w:w="2166"/>
        <w:gridCol w:w="94"/>
        <w:gridCol w:w="11"/>
        <w:gridCol w:w="1274"/>
        <w:tblGridChange w:id="0">
          <w:tblGrid>
            <w:gridCol w:w="1115"/>
            <w:gridCol w:w="11"/>
            <w:gridCol w:w="1394"/>
            <w:gridCol w:w="24"/>
            <w:gridCol w:w="81"/>
            <w:gridCol w:w="919"/>
            <w:gridCol w:w="3544"/>
            <w:gridCol w:w="2166"/>
            <w:gridCol w:w="94"/>
            <w:gridCol w:w="11"/>
            <w:gridCol w:w="1274"/>
          </w:tblGrid>
        </w:tblGridChange>
      </w:tblGrid>
      <w:tr>
        <w:trPr>
          <w:cantSplit w:val="1"/>
          <w:trHeight w:val="1" w:hRule="atLeast"/>
          <w:tblHeader w:val="1"/>
        </w:trPr>
        <w:tc>
          <w:tcPr>
            <w:gridSpan w:val="2"/>
            <w:shd w:fill="808000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08000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-250" w:right="0" w:firstLine="14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Маршрут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808000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-25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Программа 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808000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-250" w:right="0" w:firstLine="25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Питание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0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62585" cy="180975"/>
                  <wp:effectExtent b="0" l="0" r="0" t="0"/>
                  <wp:docPr id="1144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Прибытие </w:t>
              <w:br w:type="textWrapping"/>
              <w:t xml:space="preserve">в Ургенч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10" w:right="-10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72110" cy="189865"/>
                  <wp:effectExtent b="0" l="0" r="0" t="0"/>
                  <wp:docPr id="1143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89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Ургенч – Хива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(40 км, 1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Прибытие в Ургенч.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Встреча в аэропорту, групповой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Хиву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Размещение в гостинице с 14:00. Свободное время без транспортного и экскурсионного обслуживания.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один из главных городов древнего Хорезма и единственный город современного Узбекистана, где целиком сохранился практически в нетронутом виде средневековый шахристан – Ичан-Кала («внутренний город»).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3140" cy="1085850"/>
                  <wp:effectExtent b="0" l="0" r="0" t="0"/>
                  <wp:docPr id="1146" name="image27.jpg"/>
                  <a:graphic>
                    <a:graphicData uri="http://schemas.openxmlformats.org/drawingml/2006/picture">
                      <pic:pic>
                        <pic:nvPicPr>
                          <pic:cNvPr id="0" name="image27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14575" cy="1110615"/>
                  <wp:effectExtent b="0" l="0" r="0" t="0"/>
                  <wp:docPr id="1145" name="image30.jpg"/>
                  <a:graphic>
                    <a:graphicData uri="http://schemas.openxmlformats.org/drawingml/2006/picture">
                      <pic:pic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110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00605" cy="1103630"/>
                  <wp:effectExtent b="0" l="0" r="0" t="0"/>
                  <wp:docPr id="1148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5" cy="1103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36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47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5" w:right="-10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Ичан-Кала предстанет перед нами в облике оживших улиц из восточной сказки, где каждое строение – уникальный архитектурный памятник и отдельная достопримечательность.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Хиве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(Ичан-Кале):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Пахлавана Махмуда,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который считается местом паломничества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крепость Куня-Арк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сердце Ичан-Калы, цитадель правителей и еще один «город в городе»;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медресе и минарет Ислам Ходжи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символ города, самый высокий минарет Хивы (56,6 м), откуда открывается сказочный вид на весь город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дворец Таш Хаули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главная резиденция хивинских правителей;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медресе Алакули-хана,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где расположен музей истории медицины имени Авиценны;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мечеть Джума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центральная и самая необычная мечеть Хивы с 213 резными деревянными колоннами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минарет и медресе Мухаммад Амин-хана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крупнейшее медресе Хивы и одно из самых крупных в Средней Азии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5750" cy="180975"/>
                  <wp:effectExtent b="0" l="0" r="0" t="0"/>
                  <wp:docPr id="1150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90140" cy="1087120"/>
                  <wp:effectExtent b="0" l="0" r="0" t="0"/>
                  <wp:docPr id="1149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140" cy="1087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45995" cy="1075055"/>
                  <wp:effectExtent b="0" l="0" r="0" t="0"/>
                  <wp:docPr id="1153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95" cy="10750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68550" cy="1085850"/>
                  <wp:effectExtent b="0" l="0" r="0" t="0"/>
                  <wp:docPr id="1151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36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5" w:right="-10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72110" cy="189865"/>
                  <wp:effectExtent b="0" l="0" r="0" t="0"/>
                  <wp:docPr id="1152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89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5" w:right="-10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 – Бухара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5" w:right="-107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(440 км, 8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Бухару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через известную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пустыню Кызылкум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вдоль реки Амударьи. Мы проедем той же дорогой, по которой некогда медленно тянулись бесчисленные караваны Шелкового пути. “Кызылкум” в переводе с тюркского – «Красные пески», здешний песок действительно имеет красноватый оттенок. Мы сделаем несколько остановок и погуляем по живописным барханам, увидим одну из двух крупнейших рек региона – Амударью.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Размещение в гостинице Бухары. Свободное время, посещение сувенирных лавок и мастерских.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5750" cy="180975"/>
                  <wp:effectExtent b="0" l="0" r="0" t="0"/>
                  <wp:docPr id="1154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44420" cy="1106805"/>
                  <wp:effectExtent b="0" l="0" r="0" t="0"/>
                  <wp:docPr id="1155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11068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81555" cy="1094740"/>
                  <wp:effectExtent b="0" l="0" r="0" t="0"/>
                  <wp:docPr id="1156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55" cy="10947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48535" cy="1094105"/>
                  <wp:effectExtent b="0" l="0" r="0" t="0"/>
                  <wp:docPr id="1157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535" cy="10941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58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один из древнейших городов мира, через который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архитектуры, среди которых грандиозные медресе, мечети и знаменитый символ города – минарет Калян, крепость Арк, действующие средневековые бани и торговые купола. Исторический центр Бухары включен в Список всемирного наследия ЮНЕСКО.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Бухаре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мавзолей Саманидов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династическая усыпальница, сочетающая традиции согдийской и исламской архитектуры;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необычный мавзолей в форме продолговатой призмы, связанный с библейскими легендами о странствующем Иове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Чашма Аюб;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Боло-Хауз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- памятник монументального Регистана Бухары, состоит из водоема, минарета и мечети, украшенной 20 резными колоннами; цитадель древней Бухары, «город в городе»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старинная крепость Арк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древнейшее здание парадной площади, центральный ансамбль и главный символ Бухары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Пой-Калян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потрясающе красивое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Абдулазиз-хана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богато украшенное сложными орнаментами; строгое и уравновешенное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Улугбека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Затем направимся 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ансамблю Ляби-Хауз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самой известной площади Бухары с искусственным прудом, вокруг которого расположены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Кукельдаш, медресе Надира Диванбеги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ханака, знаменитый памятник Ходже Насреддину и множество уютных кафе. Посещение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торгового квартала крытых базаров XVI века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где представлены мастерские народных ремесел.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5750" cy="180975"/>
                  <wp:effectExtent b="0" l="0" r="0" t="0"/>
                  <wp:docPr id="1159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57425" cy="1083310"/>
                  <wp:effectExtent b="0" l="0" r="0" t="0"/>
                  <wp:docPr id="1160" name="image26.jpg"/>
                  <a:graphic>
                    <a:graphicData uri="http://schemas.openxmlformats.org/drawingml/2006/picture">
                      <pic:pic>
                        <pic:nvPicPr>
                          <pic:cNvPr id="0" name="image26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3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57425" cy="1075690"/>
                  <wp:effectExtent b="0" l="0" r="0" t="0"/>
                  <wp:docPr id="1161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756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47900" cy="1078865"/>
                  <wp:effectExtent b="0" l="0" r="0" t="0"/>
                  <wp:docPr id="113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078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25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72110" cy="189865"/>
                  <wp:effectExtent b="0" l="0" r="0" t="0"/>
                  <wp:docPr id="1133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89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 – Шахрисабз – Самарканд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(375 км, 7 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3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Шахрисабз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Шахрисабз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родной город Тамерлана. Зеленый город-сад знаменит своими уникальными архитектурными памятниками, построенными при Тимуре и Тимуридах, которые были призваны превратить малую родину Тамерлана во вторую столицу, не менее роскошную, чем Самарканд.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Шахрисабзу: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дворец Ак-сарай («Белый дворец»)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грандиозные руины величественной резиденции Тимура, входит в список Всемирного наследия ЮНЕСКО; мемориальный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Дорус-Саодат,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где сохранился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склеп Тимура, так и оставшийся пустым, 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мавзолей его сына Джахангира;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ансамбль Дорут-Тилляват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(«Место размышлений»)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династийная усыпальница, где покоится отец Тамерлана и его духовный наставник;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мечеть Кок-Гумбаз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white"/>
                <w:u w:val="none"/>
                <w:vertAlign w:val="baseline"/>
                <w:rtl w:val="0"/>
              </w:rPr>
              <w:t xml:space="preserve">(«Голубой купол»)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 пятничная соборная мечеть Шахрисабза.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Самарканд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6385" cy="183515"/>
                  <wp:effectExtent b="0" l="0" r="0" t="0"/>
                  <wp:docPr id="1135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57425" cy="1083310"/>
                  <wp:effectExtent b="0" l="0" r="0" t="0"/>
                  <wp:docPr id="1136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33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05050" cy="1103630"/>
                  <wp:effectExtent b="0" l="0" r="0" t="0"/>
                  <wp:docPr id="1137" name="image12.jpg"/>
                  <a:graphic>
                    <a:graphicData uri="http://schemas.openxmlformats.org/drawingml/2006/picture">
                      <pic:pic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103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6950" cy="1090295"/>
                  <wp:effectExtent b="0" l="0" r="0" t="0"/>
                  <wp:docPr id="1138" name="image24.jpg"/>
                  <a:graphic>
                    <a:graphicData uri="http://schemas.openxmlformats.org/drawingml/2006/picture">
                      <pic:pic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0902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67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39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ровесник Рима, «жемчужина Востока», столица легендарной Согдианы, Мараканда, а затем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Самарканду: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самая известная площадь Центральной Азии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Регистан,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окруженная тремя монументальными медресе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Шер-Дор, Тилля-Кари  и медресе Улугбека; мавзолей Гур-Эмир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грандиозная династическая усыпальница Тамерлана, послужившая прототипом  для мавзолеев Хумаюн в Дели и Тадж-Махал в Агре; самая большая в Центральной Азии соборная мечеть, исполненная царственности и красоты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Биби-Ханум;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крупнейший рынок Самарканда 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базар Сиаб;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архитектурный ансамбль из 11 средневековых мавзолеев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Шахи-Зинда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6385" cy="183515"/>
                  <wp:effectExtent b="0" l="0" r="0" t="0"/>
                  <wp:docPr id="1140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95525" cy="1103630"/>
                  <wp:effectExtent b="0" l="0" r="0" t="0"/>
                  <wp:docPr id="1141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103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86000" cy="1092200"/>
                  <wp:effectExtent b="0" l="0" r="0" t="0"/>
                  <wp:docPr id="1122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092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57425" cy="1085850"/>
                  <wp:effectExtent b="0" l="0" r="0" t="0"/>
                  <wp:docPr id="1123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12" w:hRule="atLeast"/>
          <w:tblHeader w:val="1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24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72110" cy="189865"/>
                  <wp:effectExtent b="0" l="0" r="0" t="0"/>
                  <wp:docPr id="1125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" cy="1898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76" w:hanging="109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 – Ташкент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(330 км, 5 ч)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Продолжение экскурсии по Самарканду: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музей истории “Афрасиаб”,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расположенный близ руин древнего Самарканда – городища Афрасиаб;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музей обсерватории Улугбека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одной из самых значительных обсерваторий Средневековья, где под землей сохранился фрагмент гигантского угломера (секстанта)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Ташкент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многогранную столицу Узбекистана с современной инфраструктурой и сохранившимся атмосферным районом Старого города.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6385" cy="183515"/>
                  <wp:effectExtent b="0" l="0" r="0" t="0"/>
                  <wp:docPr id="1126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3140" cy="1085850"/>
                  <wp:effectExtent b="0" l="0" r="0" t="0"/>
                  <wp:docPr id="1127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2505" cy="1085850"/>
                  <wp:effectExtent b="0" l="0" r="0" t="0"/>
                  <wp:docPr id="1128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2505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86000" cy="1097280"/>
                  <wp:effectExtent b="0" l="0" r="0" t="0"/>
                  <wp:docPr id="1129" name="image29.jpg"/>
                  <a:graphic>
                    <a:graphicData uri="http://schemas.openxmlformats.org/drawingml/2006/picture">
                      <pic:pic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3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0972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06" w:hRule="atLeast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95580" cy="179705"/>
                  <wp:effectExtent b="0" l="0" r="0" t="0"/>
                  <wp:docPr id="1130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797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(экскурсия)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Архитектура Ташкента поражает своим разнообразием: археологические памятники времен зороастризма, которым уже более 2200 лет, архитектурные шедевры Средневековья, монументальные здания конца XIX в., самое красивое в мире метро и, разумеется, многочисленные новейшие постройки.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 Ташкенту (Старый город):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площадь Хаст-Имам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духовный центр Ташкента, где хранится волос Пророка Мухаммеда;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медресе Барак-хана, мавзолей Кафал-аль-Шаши Мазар –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одни из старейших памятников архитектуры столицы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Посещение самого оригинального и старинного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базара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Чорсу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Здесь под огромным куполом можно приобрести местные продукты, специи, ремесленные изделия и сувениры. В районе Старого города, помимо традиционной восточной архитектуры, можно увидеть аутентичные старинные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махалли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(жилые кварталы) с глинобитными домами, узкими улочками и подлинной атмосферой Старого Ташкента. 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Обед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в знаменитом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Среднеазиатском центре плова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«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Беш Козон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», где каждый день в нескольких гигантских казанах готовят 10 тонн вкуснейшего плова. 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Прогулка по центральной части Ташкента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6385" cy="183515"/>
                  <wp:effectExtent b="0" l="0" r="0" t="0"/>
                  <wp:docPr id="1131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Обед</w:t>
            </w:r>
          </w:p>
        </w:tc>
      </w:tr>
      <w:tr>
        <w:trPr>
          <w:cantSplit w:val="1"/>
          <w:trHeight w:val="1702" w:hRule="atLeast"/>
          <w:tblHeader w:val="1"/>
        </w:trPr>
        <w:tc>
          <w:tcPr>
            <w:gridSpan w:val="6"/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5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8855" cy="1085850"/>
                  <wp:effectExtent b="0" l="0" r="0" t="0"/>
                  <wp:docPr id="1116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3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855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02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300605" cy="1103630"/>
                  <wp:effectExtent b="0" l="0" r="0" t="0"/>
                  <wp:docPr id="1117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3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5" cy="11036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116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263140" cy="1085850"/>
                  <wp:effectExtent b="0" l="0" r="0" t="0"/>
                  <wp:docPr id="1118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3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140" cy="1085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97" w:hRule="atLeast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362585" cy="180975"/>
                  <wp:effectExtent b="0" l="0" r="0" t="0"/>
                  <wp:docPr id="1119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" cy="180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Убытие из Ташкента.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Групповой переезд в аэропорт. Завершение программы тура. 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86385" cy="183515"/>
                  <wp:effectExtent b="0" l="0" r="0" t="0"/>
                  <wp:docPr id="1120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1835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657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535"/>
        <w:gridCol w:w="2122"/>
        <w:tblGridChange w:id="0">
          <w:tblGrid>
            <w:gridCol w:w="4535"/>
            <w:gridCol w:w="2122"/>
          </w:tblGrid>
        </w:tblGridChange>
      </w:tblGrid>
      <w:tr>
        <w:trPr>
          <w:cantSplit w:val="1"/>
          <w:trHeight w:val="284" w:hRule="atLeast"/>
          <w:tblHeader w:val="1"/>
        </w:trPr>
        <w:tc>
          <w:tcPr>
            <w:gridSpan w:val="2"/>
            <w:shd w:fill="808000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Стоимость тура в USD: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shd w:fill="fcfdf1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Стоимость тура для 1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cfdf1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9933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760 USD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Доплата за одноместное размещение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+180 USD</w:t>
            </w:r>
          </w:p>
        </w:tc>
      </w:tr>
    </w:tbl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включена агентская комиссия (доплата за одноместное размещение – нетто).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Тур является гарантированным и состоится вне зависимости от количества участников.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 участию в групповом туре допускаются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дети от 10 лет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включено: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Встреча/проводы в аэропорту, групповой трансфер аэропорт – гостиница – аэропорт для каждого рейса в день начала и окончания программы.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Размещение в гостиницах в двухместных номерах с завтраком.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Групповые экскурсии с гидом согласно программе тура.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Комфортабельный транспорт с кондиционером на протяжении всего тура.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Обед в Среднеазиатском центре плова «Беш Козон».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Минеральная вода (1 л) на каждый экскурсионный день тура (кроме дней прибытия и убытия).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Памятные сувениры.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не включено: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международных перелетов.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Входные билеты на памятники и в музеи.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питания (обеды и ужины).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Медицинские издержки и страховка.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Дополнительные услуги: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Дополнительная ночь по прибытии или убытии в гостинице 3*: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одноместный номер – 60 USD за номер в сутки,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77" w:right="0" w:hanging="35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двухместный номер – 70 USD за номер в сутки.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Доплата за индивидуальный трансфер аэропорт – гостиница – аэропорт: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49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седан: +25 USD в одну сторону;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49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микроавтобус: + 40 USD в одну сторону.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Порядок посещения объектов во время экскурсий может меняться.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0000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Информация о гостиницах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7741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064"/>
        <w:gridCol w:w="5677"/>
        <w:tblGridChange w:id="0">
          <w:tblGrid>
            <w:gridCol w:w="2064"/>
            <w:gridCol w:w="5677"/>
          </w:tblGrid>
        </w:tblGridChange>
      </w:tblGrid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00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00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Гостиница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Shokh Jahon Hotel 3* / Silk Road 3*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Ayvan Boutique 3* / Nostalgia Boutique 3*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Arba 3* / Marokand Spa Hotel 3*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Huvaydo 3* / King Plaza 3*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800000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Информация о транспорте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043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17"/>
        <w:gridCol w:w="4726"/>
        <w:tblGridChange w:id="0">
          <w:tblGrid>
            <w:gridCol w:w="2317"/>
            <w:gridCol w:w="4726"/>
          </w:tblGrid>
        </w:tblGridChange>
      </w:tblGrid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00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08000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Наименование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1–2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hyperlink r:id="rId36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Chevrolet Lacetti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3–6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37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"Hyundai Grand Starex"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7–9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hyperlink r:id="rId38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Toyota Hiace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 / "</w:t>
            </w:r>
            <w:hyperlink r:id="rId39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King Long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10–14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0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"Eurise"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4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15–30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cfdf1" w:val="clear"/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41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"Asia Star"</w:t>
              </w:r>
            </w:hyperlink>
            <w:hyperlink r:id="rId42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 </w:t>
              </w:r>
            </w:hyperlink>
            <w:hyperlink r:id="rId43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808000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/ "Yutong"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000375" cy="885825"/>
            <wp:effectExtent b="0" l="0" r="0" t="0"/>
            <wp:docPr id="11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e4556"/>
          <w:sz w:val="24"/>
          <w:szCs w:val="24"/>
          <w:u w:val="none"/>
          <w:shd w:fill="auto" w:val="clear"/>
          <w:vertAlign w:val="baseline"/>
          <w:rtl w:val="0"/>
        </w:rPr>
        <w:t xml:space="preserve">Central Asia Travel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Узбекистан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: +998 71 2000299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Кыргызстан: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 +996 556657799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Россия: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 +7 499 50498 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45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666666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Telegram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| </w:t>
      </w:r>
      <w:hyperlink r:id="rId46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666666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WhatsApp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fprwcxyfux7m" w:id="0"/>
      <w:bookmarkEnd w:id="0"/>
      <w:hyperlink r:id="rId4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99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www.centralasia-travel.com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06666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| </w:t>
      </w:r>
      <w:hyperlink r:id="rId4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99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grouptours@centralasia-travel.com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26" w:top="851" w:left="992" w:right="6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color w:val="808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×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color w:val="984806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rsid w:val="00B76EB0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customStyle="1">
    <w:name w:val="normal"/>
    <w:rsid w:val="00B76EB0"/>
  </w:style>
  <w:style w:type="table" w:styleId="a4">
    <w:name w:val="Table Grid"/>
    <w:basedOn w:val="a1"/>
    <w:autoRedefine w:val="1"/>
    <w:hidden w:val="1"/>
    <w:qFormat w:val="1"/>
    <w:rsid w:val="00B76EB0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header"/>
    <w:basedOn w:val="a"/>
    <w:autoRedefine w:val="1"/>
    <w:hidden w:val="1"/>
    <w:qFormat w:val="1"/>
    <w:rsid w:val="00B76EB0"/>
    <w:pPr>
      <w:tabs>
        <w:tab w:val="center" w:pos="4677"/>
        <w:tab w:val="right" w:pos="9355"/>
      </w:tabs>
    </w:pPr>
  </w:style>
  <w:style w:type="paragraph" w:styleId="a6">
    <w:name w:val="footer"/>
    <w:basedOn w:val="a"/>
    <w:autoRedefine w:val="1"/>
    <w:hidden w:val="1"/>
    <w:qFormat w:val="1"/>
    <w:rsid w:val="00B76EB0"/>
    <w:pPr>
      <w:tabs>
        <w:tab w:val="center" w:pos="4677"/>
        <w:tab w:val="right" w:pos="9355"/>
      </w:tabs>
    </w:pPr>
  </w:style>
  <w:style w:type="paragraph" w:styleId="kabinki" w:customStyle="1">
    <w:name w:val="kabinki"/>
    <w:basedOn w:val="a"/>
    <w:autoRedefine w:val="1"/>
    <w:hidden w:val="1"/>
    <w:qFormat w:val="1"/>
    <w:rsid w:val="00B76EB0"/>
    <w:pPr>
      <w:spacing w:after="100" w:afterAutospacing="1" w:before="100" w:beforeAutospacing="1"/>
    </w:pPr>
  </w:style>
  <w:style w:type="character" w:styleId="a7">
    <w:name w:val="Strong"/>
    <w:autoRedefine w:val="1"/>
    <w:hidden w:val="1"/>
    <w:qFormat w:val="1"/>
    <w:rsid w:val="00B76EB0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a0"/>
    <w:autoRedefine w:val="1"/>
    <w:hidden w:val="1"/>
    <w:qFormat w:val="1"/>
    <w:rsid w:val="00B76EB0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autoRedefine w:val="1"/>
    <w:hidden w:val="1"/>
    <w:qFormat w:val="1"/>
    <w:rsid w:val="00B76EB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21" w:customStyle="1">
    <w:name w:val="Средняя сетка 21"/>
    <w:autoRedefine w:val="1"/>
    <w:hidden w:val="1"/>
    <w:qFormat w:val="1"/>
    <w:rsid w:val="00B76EB0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9">
    <w:name w:val="Normal (Web)"/>
    <w:basedOn w:val="a"/>
    <w:autoRedefine w:val="1"/>
    <w:hidden w:val="1"/>
    <w:qFormat w:val="1"/>
    <w:rsid w:val="00B76EB0"/>
    <w:pPr>
      <w:spacing w:after="100" w:afterAutospacing="1" w:before="100" w:beforeAutospacing="1"/>
    </w:pPr>
  </w:style>
  <w:style w:type="character" w:styleId="apple-style-span" w:customStyle="1">
    <w:name w:val="apple-style-span"/>
    <w:basedOn w:val="a0"/>
    <w:autoRedefine w:val="1"/>
    <w:hidden w:val="1"/>
    <w:qFormat w:val="1"/>
    <w:rsid w:val="00B76EB0"/>
    <w:rPr>
      <w:w w:val="100"/>
      <w:position w:val="-1"/>
      <w:effect w:val="none"/>
      <w:vertAlign w:val="baseline"/>
      <w:cs w:val="0"/>
      <w:em w:val="none"/>
    </w:rPr>
  </w:style>
  <w:style w:type="paragraph" w:styleId="rmcgjnrgmsonormal" w:customStyle="1">
    <w:name w:val="rmcgjnrgmsonormal"/>
    <w:basedOn w:val="a"/>
    <w:autoRedefine w:val="1"/>
    <w:hidden w:val="1"/>
    <w:qFormat w:val="1"/>
    <w:rsid w:val="00B76EB0"/>
    <w:pPr>
      <w:spacing w:after="100" w:afterAutospacing="1" w:before="100" w:beforeAutospacing="1"/>
    </w:pPr>
  </w:style>
  <w:style w:type="character" w:styleId="aa">
    <w:name w:val="Emphasis"/>
    <w:autoRedefine w:val="1"/>
    <w:hidden w:val="1"/>
    <w:qFormat w:val="1"/>
    <w:rsid w:val="00B76EB0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table" w:styleId="ac" w:customStyle="1">
    <w:basedOn w:val="TableNormal"/>
    <w:rsid w:val="00B76EB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"/>
    <w:rsid w:val="00B76EB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"/>
    <w:rsid w:val="00B76EB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rsid w:val="00B76EB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rsid w:val="00B76EB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f1">
    <w:name w:val="Balloon Text"/>
    <w:basedOn w:val="a"/>
    <w:link w:val="af2"/>
    <w:uiPriority w:val="99"/>
    <w:semiHidden w:val="1"/>
    <w:unhideWhenUsed w:val="1"/>
    <w:rsid w:val="005F17EC"/>
    <w:pPr>
      <w:spacing w:line="240" w:lineRule="auto"/>
    </w:pPr>
    <w:rPr>
      <w:rFonts w:ascii="Tahoma" w:cs="Tahoma" w:hAnsi="Tahoma"/>
      <w:sz w:val="16"/>
      <w:szCs w:val="16"/>
    </w:rPr>
  </w:style>
  <w:style w:type="character" w:styleId="af2" w:customStyle="1">
    <w:name w:val="Текст выноски Знак"/>
    <w:basedOn w:val="a0"/>
    <w:link w:val="af1"/>
    <w:uiPriority w:val="99"/>
    <w:semiHidden w:val="1"/>
    <w:rsid w:val="005F17EC"/>
    <w:rPr>
      <w:rFonts w:ascii="Tahoma" w:cs="Tahoma" w:hAnsi="Tahoma"/>
      <w:position w:val="-1"/>
      <w:sz w:val="16"/>
      <w:szCs w:val="16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centralasia-travel.com/ru/countries/uzbekistan/avto#eurise" TargetMode="External"/><Relationship Id="rId20" Type="http://schemas.openxmlformats.org/officeDocument/2006/relationships/image" Target="media/image19.jpg"/><Relationship Id="rId42" Type="http://schemas.openxmlformats.org/officeDocument/2006/relationships/hyperlink" Target="https://www.centralasia-travel.com/ru/countries/uzbekistan/avto#yutong" TargetMode="External"/><Relationship Id="rId41" Type="http://schemas.openxmlformats.org/officeDocument/2006/relationships/hyperlink" Target="https://www.centralasia-travel.com/ru/countries/uzbekistan/avto#AsiaStar" TargetMode="External"/><Relationship Id="rId22" Type="http://schemas.openxmlformats.org/officeDocument/2006/relationships/image" Target="media/image21.jpg"/><Relationship Id="rId44" Type="http://schemas.openxmlformats.org/officeDocument/2006/relationships/image" Target="media/image4.png"/><Relationship Id="rId21" Type="http://schemas.openxmlformats.org/officeDocument/2006/relationships/image" Target="media/image26.jpg"/><Relationship Id="rId43" Type="http://schemas.openxmlformats.org/officeDocument/2006/relationships/hyperlink" Target="https://www.centralasia-travel.com/ru/countries/uzbekistan/avto#yutong" TargetMode="External"/><Relationship Id="rId24" Type="http://schemas.openxmlformats.org/officeDocument/2006/relationships/image" Target="media/image16.jpg"/><Relationship Id="rId46" Type="http://schemas.openxmlformats.org/officeDocument/2006/relationships/hyperlink" Target="https://msng.link/wa/998983679599" TargetMode="External"/><Relationship Id="rId23" Type="http://schemas.openxmlformats.org/officeDocument/2006/relationships/image" Target="media/image2.jpg"/><Relationship Id="rId45" Type="http://schemas.openxmlformats.org/officeDocument/2006/relationships/hyperlink" Target="https://msng.link/tg/Central_Asia_Trave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jpg"/><Relationship Id="rId26" Type="http://schemas.openxmlformats.org/officeDocument/2006/relationships/image" Target="media/image24.jpg"/><Relationship Id="rId48" Type="http://schemas.openxmlformats.org/officeDocument/2006/relationships/hyperlink" Target="mailto:grouptours@centralasia-travel.com" TargetMode="External"/><Relationship Id="rId25" Type="http://schemas.openxmlformats.org/officeDocument/2006/relationships/image" Target="media/image12.jpg"/><Relationship Id="rId47" Type="http://schemas.openxmlformats.org/officeDocument/2006/relationships/hyperlink" Target="http://www.centralasia-travel.com" TargetMode="External"/><Relationship Id="rId28" Type="http://schemas.openxmlformats.org/officeDocument/2006/relationships/image" Target="media/image3.jpg"/><Relationship Id="rId27" Type="http://schemas.openxmlformats.org/officeDocument/2006/relationships/image" Target="media/image1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6.jpg"/><Relationship Id="rId7" Type="http://schemas.openxmlformats.org/officeDocument/2006/relationships/image" Target="media/image23.jpg"/><Relationship Id="rId8" Type="http://schemas.openxmlformats.org/officeDocument/2006/relationships/image" Target="media/image1.jpg"/><Relationship Id="rId31" Type="http://schemas.openxmlformats.org/officeDocument/2006/relationships/image" Target="media/image17.jpg"/><Relationship Id="rId30" Type="http://schemas.openxmlformats.org/officeDocument/2006/relationships/image" Target="media/image9.jpg"/><Relationship Id="rId11" Type="http://schemas.openxmlformats.org/officeDocument/2006/relationships/image" Target="media/image30.jpg"/><Relationship Id="rId33" Type="http://schemas.openxmlformats.org/officeDocument/2006/relationships/image" Target="media/image28.jpg"/><Relationship Id="rId10" Type="http://schemas.openxmlformats.org/officeDocument/2006/relationships/image" Target="media/image27.jpg"/><Relationship Id="rId32" Type="http://schemas.openxmlformats.org/officeDocument/2006/relationships/image" Target="media/image29.jpg"/><Relationship Id="rId13" Type="http://schemas.openxmlformats.org/officeDocument/2006/relationships/image" Target="media/image5.jpg"/><Relationship Id="rId35" Type="http://schemas.openxmlformats.org/officeDocument/2006/relationships/image" Target="media/image8.jpg"/><Relationship Id="rId12" Type="http://schemas.openxmlformats.org/officeDocument/2006/relationships/image" Target="media/image15.jpg"/><Relationship Id="rId34" Type="http://schemas.openxmlformats.org/officeDocument/2006/relationships/image" Target="media/image18.jpg"/><Relationship Id="rId15" Type="http://schemas.openxmlformats.org/officeDocument/2006/relationships/image" Target="media/image10.jpg"/><Relationship Id="rId37" Type="http://schemas.openxmlformats.org/officeDocument/2006/relationships/hyperlink" Target="https://www.centralasia-travel.com/ru/countries/uzbekistan/avto#Hyundai_Grand_Starex" TargetMode="External"/><Relationship Id="rId14" Type="http://schemas.openxmlformats.org/officeDocument/2006/relationships/image" Target="media/image7.jpg"/><Relationship Id="rId36" Type="http://schemas.openxmlformats.org/officeDocument/2006/relationships/hyperlink" Target="https://www.centralasia-travel.com/ru/countries/uzbekistan/avto#lacetti" TargetMode="External"/><Relationship Id="rId17" Type="http://schemas.openxmlformats.org/officeDocument/2006/relationships/image" Target="media/image25.jpg"/><Relationship Id="rId39" Type="http://schemas.openxmlformats.org/officeDocument/2006/relationships/hyperlink" Target="https://www.centralasia-travel.com/ru/countries/uzbekistan/avto#king-long" TargetMode="External"/><Relationship Id="rId16" Type="http://schemas.openxmlformats.org/officeDocument/2006/relationships/image" Target="media/image13.jpg"/><Relationship Id="rId38" Type="http://schemas.openxmlformats.org/officeDocument/2006/relationships/hyperlink" Target="https://www.centralasia-travel.com/ru/countries/uzbekistan/avto#toyota_hiace" TargetMode="External"/><Relationship Id="rId19" Type="http://schemas.openxmlformats.org/officeDocument/2006/relationships/image" Target="media/image20.jpg"/><Relationship Id="rId18" Type="http://schemas.openxmlformats.org/officeDocument/2006/relationships/image" Target="media/image2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mUeDU0nLhbPaOveRFPR0CQMBgQ==">CgMxLjAyDmguZnByd2N4eWZ1eDdtOAByITFRVkE5M0pENjZyM0xNZkl1X1dmVTlJR3lLYlZsdFBTRw==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2022-11-23T11:16:00Z</dcterms:created>
  <dc:creator>cat03</dc:creator>
</cp:coreProperties>
</file>